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AE" w:rsidRDefault="00DF16AE" w:rsidP="007759A2">
      <w:pPr>
        <w:spacing w:after="0" w:line="240" w:lineRule="auto"/>
        <w:jc w:val="right"/>
        <w:rPr>
          <w:rFonts w:ascii="Times New Roman" w:hAnsi="Times New Roman"/>
          <w:sz w:val="24"/>
          <w:szCs w:val="24"/>
        </w:rPr>
      </w:pPr>
      <w:r>
        <w:rPr>
          <w:rFonts w:ascii="Times New Roman" w:hAnsi="Times New Roman"/>
          <w:sz w:val="24"/>
          <w:szCs w:val="24"/>
        </w:rPr>
        <w:t>Додаток 1</w:t>
      </w:r>
      <w:r w:rsidRPr="00AB10C3">
        <w:rPr>
          <w:rFonts w:ascii="Times New Roman" w:hAnsi="Times New Roman"/>
          <w:sz w:val="24"/>
          <w:szCs w:val="24"/>
        </w:rPr>
        <w:t xml:space="preserve"> </w:t>
      </w:r>
    </w:p>
    <w:p w:rsidR="00DF16AE" w:rsidRDefault="00DF16AE" w:rsidP="007759A2">
      <w:pPr>
        <w:spacing w:after="0" w:line="240" w:lineRule="auto"/>
        <w:jc w:val="right"/>
        <w:rPr>
          <w:rFonts w:ascii="Times New Roman" w:hAnsi="Times New Roman"/>
          <w:sz w:val="24"/>
          <w:szCs w:val="24"/>
        </w:rPr>
      </w:pPr>
      <w:r w:rsidRPr="00AB10C3">
        <w:rPr>
          <w:rFonts w:ascii="Times New Roman" w:hAnsi="Times New Roman"/>
          <w:sz w:val="24"/>
          <w:szCs w:val="24"/>
        </w:rPr>
        <w:t>до рішення виконавчого комітету</w:t>
      </w:r>
    </w:p>
    <w:p w:rsidR="00DF16AE" w:rsidRDefault="00DF16AE" w:rsidP="007759A2">
      <w:pPr>
        <w:spacing w:after="0" w:line="240" w:lineRule="auto"/>
        <w:jc w:val="right"/>
        <w:rPr>
          <w:rFonts w:ascii="Times New Roman" w:hAnsi="Times New Roman"/>
          <w:sz w:val="24"/>
          <w:szCs w:val="24"/>
        </w:rPr>
      </w:pPr>
      <w:r>
        <w:rPr>
          <w:rFonts w:ascii="Times New Roman" w:hAnsi="Times New Roman"/>
          <w:sz w:val="24"/>
          <w:szCs w:val="24"/>
        </w:rPr>
        <w:t xml:space="preserve"> від 27.12</w:t>
      </w:r>
      <w:r w:rsidRPr="00AB10C3">
        <w:rPr>
          <w:rFonts w:ascii="Times New Roman" w:hAnsi="Times New Roman"/>
          <w:sz w:val="24"/>
          <w:szCs w:val="24"/>
        </w:rPr>
        <w:t>.2018</w:t>
      </w:r>
      <w:r>
        <w:rPr>
          <w:rFonts w:ascii="Times New Roman" w:hAnsi="Times New Roman"/>
          <w:sz w:val="24"/>
          <w:szCs w:val="24"/>
        </w:rPr>
        <w:t xml:space="preserve"> № 132</w:t>
      </w:r>
      <w:r w:rsidRPr="00AB10C3">
        <w:rPr>
          <w:rFonts w:ascii="Times New Roman" w:hAnsi="Times New Roman"/>
          <w:sz w:val="24"/>
          <w:szCs w:val="24"/>
        </w:rPr>
        <w:t xml:space="preserve"> </w:t>
      </w:r>
    </w:p>
    <w:p w:rsidR="00DF16AE" w:rsidRDefault="00DF16AE" w:rsidP="007759A2">
      <w:pPr>
        <w:spacing w:after="0" w:line="240" w:lineRule="auto"/>
        <w:jc w:val="right"/>
        <w:rPr>
          <w:rFonts w:ascii="Times New Roman" w:hAnsi="Times New Roman"/>
          <w:sz w:val="24"/>
          <w:szCs w:val="24"/>
        </w:rPr>
      </w:pPr>
    </w:p>
    <w:p w:rsidR="00DF16AE" w:rsidRDefault="00DF16AE" w:rsidP="007759A2">
      <w:pPr>
        <w:spacing w:after="0" w:line="240" w:lineRule="auto"/>
        <w:jc w:val="center"/>
        <w:rPr>
          <w:rFonts w:ascii="Times New Roman" w:hAnsi="Times New Roman"/>
          <w:b/>
          <w:sz w:val="24"/>
          <w:szCs w:val="24"/>
        </w:rPr>
      </w:pPr>
      <w:r w:rsidRPr="007759A2">
        <w:rPr>
          <w:rFonts w:ascii="Times New Roman" w:hAnsi="Times New Roman"/>
          <w:b/>
          <w:sz w:val="24"/>
          <w:szCs w:val="24"/>
        </w:rPr>
        <w:t xml:space="preserve">ПРОГНОЗ </w:t>
      </w:r>
    </w:p>
    <w:p w:rsidR="00DF16AE" w:rsidRDefault="00DF16AE" w:rsidP="007759A2">
      <w:pPr>
        <w:spacing w:after="0" w:line="240" w:lineRule="auto"/>
        <w:jc w:val="center"/>
        <w:rPr>
          <w:rFonts w:ascii="Times New Roman" w:hAnsi="Times New Roman"/>
          <w:b/>
          <w:sz w:val="24"/>
          <w:szCs w:val="24"/>
        </w:rPr>
      </w:pPr>
      <w:r w:rsidRPr="007759A2">
        <w:rPr>
          <w:rFonts w:ascii="Times New Roman" w:hAnsi="Times New Roman"/>
          <w:b/>
          <w:sz w:val="24"/>
          <w:szCs w:val="24"/>
        </w:rPr>
        <w:t>міського бюджету на 2020 та 2021 роки</w:t>
      </w:r>
    </w:p>
    <w:p w:rsidR="00DF16AE" w:rsidRPr="007759A2" w:rsidRDefault="00DF16AE" w:rsidP="007759A2">
      <w:pPr>
        <w:spacing w:after="0" w:line="240" w:lineRule="auto"/>
        <w:jc w:val="center"/>
        <w:rPr>
          <w:rFonts w:ascii="Times New Roman" w:hAnsi="Times New Roman"/>
          <w:b/>
          <w:sz w:val="24"/>
          <w:szCs w:val="24"/>
        </w:rPr>
      </w:pPr>
    </w:p>
    <w:p w:rsidR="00DF16AE" w:rsidRPr="00FC3111" w:rsidRDefault="00DF16AE" w:rsidP="00FC3111">
      <w:pPr>
        <w:pStyle w:val="ListParagraph"/>
        <w:numPr>
          <w:ilvl w:val="0"/>
          <w:numId w:val="1"/>
        </w:numPr>
        <w:spacing w:line="360" w:lineRule="auto"/>
        <w:jc w:val="center"/>
        <w:rPr>
          <w:rFonts w:ascii="Times New Roman" w:hAnsi="Times New Roman"/>
          <w:b/>
          <w:sz w:val="24"/>
          <w:szCs w:val="24"/>
        </w:rPr>
      </w:pPr>
      <w:r w:rsidRPr="00FC3111">
        <w:rPr>
          <w:rFonts w:ascii="Times New Roman" w:hAnsi="Times New Roman"/>
          <w:b/>
          <w:sz w:val="24"/>
          <w:szCs w:val="24"/>
        </w:rPr>
        <w:t>Загальна частина</w:t>
      </w:r>
    </w:p>
    <w:p w:rsidR="00DF16AE"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 xml:space="preserve">Прогноз </w:t>
      </w:r>
      <w:r>
        <w:rPr>
          <w:rFonts w:ascii="Times New Roman" w:hAnsi="Times New Roman"/>
          <w:sz w:val="24"/>
          <w:szCs w:val="24"/>
        </w:rPr>
        <w:t>міського</w:t>
      </w:r>
      <w:r w:rsidRPr="00AB10C3">
        <w:rPr>
          <w:rFonts w:ascii="Times New Roman" w:hAnsi="Times New Roman"/>
          <w:sz w:val="24"/>
          <w:szCs w:val="24"/>
        </w:rPr>
        <w:t xml:space="preserve"> бюджету на 2020 та 2021 роки (далі ‒ Прогноз) визначає основні напрями дій в середньостроковій перспективі, які сприятимуть досягненню довгострокових стратегічних цілей. Метою середньострокового бюджетного прогнозування є визначення фінансового ресурсу </w:t>
      </w:r>
      <w:r>
        <w:rPr>
          <w:rFonts w:ascii="Times New Roman" w:hAnsi="Times New Roman"/>
          <w:sz w:val="24"/>
          <w:szCs w:val="24"/>
        </w:rPr>
        <w:t>міського</w:t>
      </w:r>
      <w:r w:rsidRPr="00AB10C3">
        <w:rPr>
          <w:rFonts w:ascii="Times New Roman" w:hAnsi="Times New Roman"/>
          <w:sz w:val="24"/>
          <w:szCs w:val="24"/>
        </w:rPr>
        <w:t xml:space="preserve"> бюджету на середньострокову перспективу, створення дієвого механізму управління бюджетним процесом, встановлення взаємозв’язку між стратегічними цілями розвитку об’єднаної територіальної громади та можливостями бюджету у середньостроковій перспективі, забезпечення прозорості, передбачуваності та послідовності бюджетної політики . Основними завданнями (пріоритетами) бюджетної політики об’єднаної територіальної громади на середньострокову перспективу є: - планування реальних надходжень </w:t>
      </w:r>
      <w:r>
        <w:rPr>
          <w:rFonts w:ascii="Times New Roman" w:hAnsi="Times New Roman"/>
          <w:sz w:val="24"/>
          <w:szCs w:val="24"/>
        </w:rPr>
        <w:t>міського</w:t>
      </w:r>
      <w:r w:rsidRPr="00AB10C3">
        <w:rPr>
          <w:rFonts w:ascii="Times New Roman" w:hAnsi="Times New Roman"/>
          <w:sz w:val="24"/>
          <w:szCs w:val="24"/>
        </w:rPr>
        <w:t xml:space="preserve"> бюджету на основі прогнозних макропоказників економічного і соціального розвитку об’єднаної територіальної громади з урахуванням зміни податкової бази і фактичного рівня відповідних надходжень; - забезпечення самостійності </w:t>
      </w:r>
      <w:r>
        <w:rPr>
          <w:rFonts w:ascii="Times New Roman" w:hAnsi="Times New Roman"/>
          <w:sz w:val="24"/>
          <w:szCs w:val="24"/>
        </w:rPr>
        <w:t>міського</w:t>
      </w:r>
      <w:r w:rsidRPr="00AB10C3">
        <w:rPr>
          <w:rFonts w:ascii="Times New Roman" w:hAnsi="Times New Roman"/>
          <w:sz w:val="24"/>
          <w:szCs w:val="24"/>
        </w:rPr>
        <w:t xml:space="preserve"> бюджету, зміцнення його фінансової спроможності, підвищення прозорості та ефективності управління бюджетними коштами; - використання фінансових ресурсів таким чином, щоб отримати максимальний економічний ефект і вирішити найбільш нагальні та важливі завдання; - послідовна та передбачувана бюджетна політика, яка дозволить забезпечити фінансову стабільність; - прогнозованість та ефективність бюджетних видатків, що спрямоване на підвищення якості місцевих послуг; - посилення бюджетної дисципліни і встановлення чітких правил гри, яких будуть дотримуватись всі учасники бюджетного процесу; - активізація підприємницького потенціалу, зниження частки тіньової економіки для підвищення податкоспроможності; - посилення бюджетної дисципліни та контролю за витратами бюджету; - забезпечення фінансування інвестиційних проектів (програм), що мають термін реалізації більше одного року; - запровадження дієвих заходів з енергозбереження; -</w:t>
      </w:r>
      <w:r>
        <w:rPr>
          <w:rFonts w:ascii="Times New Roman" w:hAnsi="Times New Roman"/>
          <w:sz w:val="24"/>
          <w:szCs w:val="24"/>
        </w:rPr>
        <w:t xml:space="preserve"> </w:t>
      </w:r>
      <w:r w:rsidRPr="00AB10C3">
        <w:rPr>
          <w:rFonts w:ascii="Times New Roman" w:hAnsi="Times New Roman"/>
          <w:sz w:val="24"/>
          <w:szCs w:val="24"/>
        </w:rPr>
        <w:t xml:space="preserve">покращення добробуту та якості життя населення. Прогноз ґрунтується на принципах збалансованості, обґрунтованості, ефективності та результативності бюджетної системи. Прогноз розроблений на основі положень Бюджетного кодексу України, Податкового кодексу України, постанови Кабінету Міністрів України від 11 липня 2018 року №546 «Про схвалення Прогнозу економічного і соціального розвитку України на 2019‒2021 роки», рекомендацій Міністерства фінансів України щодо складання проектів місцевих бюджетів на середньострокову перспективу, основних показників економічного і соціального розвитку об’єднаної територіальної громади, місцевих цільових програм, проекту </w:t>
      </w:r>
      <w:r>
        <w:rPr>
          <w:rFonts w:ascii="Times New Roman" w:hAnsi="Times New Roman"/>
          <w:sz w:val="24"/>
          <w:szCs w:val="24"/>
        </w:rPr>
        <w:t>міського</w:t>
      </w:r>
      <w:r w:rsidRPr="00AB10C3">
        <w:rPr>
          <w:rFonts w:ascii="Times New Roman" w:hAnsi="Times New Roman"/>
          <w:sz w:val="24"/>
          <w:szCs w:val="24"/>
        </w:rPr>
        <w:t xml:space="preserve"> бюджету на 2019 рік.</w:t>
      </w:r>
    </w:p>
    <w:p w:rsidR="00DF16AE" w:rsidRDefault="00DF16AE" w:rsidP="007759A2">
      <w:pPr>
        <w:spacing w:line="240" w:lineRule="auto"/>
        <w:jc w:val="both"/>
        <w:rPr>
          <w:rFonts w:ascii="Times New Roman" w:hAnsi="Times New Roman"/>
          <w:sz w:val="24"/>
          <w:szCs w:val="24"/>
        </w:rPr>
      </w:pPr>
      <w:r w:rsidRPr="00AB10C3">
        <w:rPr>
          <w:rFonts w:ascii="Times New Roman" w:hAnsi="Times New Roman"/>
          <w:sz w:val="24"/>
          <w:szCs w:val="24"/>
        </w:rPr>
        <w:t xml:space="preserve"> </w:t>
      </w:r>
      <w:r>
        <w:rPr>
          <w:rFonts w:ascii="Times New Roman" w:hAnsi="Times New Roman"/>
          <w:sz w:val="24"/>
          <w:szCs w:val="24"/>
        </w:rPr>
        <w:t xml:space="preserve">       </w:t>
      </w:r>
      <w:r w:rsidRPr="00AB10C3">
        <w:rPr>
          <w:rFonts w:ascii="Times New Roman" w:hAnsi="Times New Roman"/>
          <w:sz w:val="24"/>
          <w:szCs w:val="24"/>
        </w:rPr>
        <w:t xml:space="preserve">Індикативними показниками соціально-економічного розвитку, які використовуються при складанні Прогнозу є: </w:t>
      </w:r>
    </w:p>
    <w:p w:rsidR="00DF16AE" w:rsidRDefault="00DF16AE" w:rsidP="007759A2">
      <w:pPr>
        <w:spacing w:line="240" w:lineRule="auto"/>
        <w:ind w:firstLine="708"/>
        <w:jc w:val="both"/>
        <w:rPr>
          <w:rFonts w:ascii="Times New Roman" w:hAnsi="Times New Roman"/>
          <w:sz w:val="24"/>
          <w:szCs w:val="24"/>
        </w:rPr>
      </w:pPr>
      <w:r w:rsidRPr="00AB10C3">
        <w:rPr>
          <w:rFonts w:ascii="Times New Roman" w:hAnsi="Times New Roman"/>
          <w:sz w:val="24"/>
          <w:szCs w:val="24"/>
        </w:rPr>
        <w:t>1. Індекс споживчих цін (грудень до грудня попереднього року): 2020 рік – 105,6%; 2021 рік − 105,0%.</w:t>
      </w:r>
    </w:p>
    <w:p w:rsidR="00DF16AE" w:rsidRDefault="00DF16AE" w:rsidP="007759A2">
      <w:pPr>
        <w:spacing w:line="240" w:lineRule="auto"/>
        <w:jc w:val="both"/>
        <w:rPr>
          <w:rFonts w:ascii="Times New Roman" w:hAnsi="Times New Roman"/>
          <w:sz w:val="24"/>
          <w:szCs w:val="24"/>
        </w:rPr>
      </w:pPr>
      <w:r w:rsidRPr="00AB10C3">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2. Видатки на оплату комунальних послуг та енергоносіїв (КЕКВ 2270), які розраховано з урахуванням прогнозного зростання тарифів на енергоносії та прогнозного індексу цін виробників, на 2020 рік збільшено в середньому порівняно із 2019 роком на коефіцієнт 1,08, на 2021 рік порівняно із 2020 роком ‒ на 1,06.</w:t>
      </w:r>
    </w:p>
    <w:p w:rsidR="00DF16AE" w:rsidRDefault="00DF16AE" w:rsidP="007759A2">
      <w:pPr>
        <w:spacing w:line="240" w:lineRule="auto"/>
        <w:jc w:val="both"/>
        <w:rPr>
          <w:rFonts w:ascii="Times New Roman" w:hAnsi="Times New Roman"/>
          <w:sz w:val="24"/>
          <w:szCs w:val="24"/>
        </w:rPr>
      </w:pPr>
    </w:p>
    <w:p w:rsidR="00DF16AE" w:rsidRDefault="00DF16AE" w:rsidP="007759A2">
      <w:pPr>
        <w:spacing w:line="240" w:lineRule="auto"/>
        <w:jc w:val="both"/>
        <w:rPr>
          <w:rFonts w:ascii="Times New Roman" w:hAnsi="Times New Roman"/>
          <w:sz w:val="24"/>
          <w:szCs w:val="24"/>
        </w:rPr>
      </w:pPr>
    </w:p>
    <w:p w:rsidR="00DF16AE" w:rsidRDefault="00DF16AE" w:rsidP="007759A2">
      <w:pPr>
        <w:spacing w:line="240" w:lineRule="auto"/>
        <w:jc w:val="both"/>
        <w:rPr>
          <w:rFonts w:ascii="Times New Roman" w:hAnsi="Times New Roman"/>
          <w:sz w:val="24"/>
          <w:szCs w:val="24"/>
        </w:rPr>
      </w:pPr>
      <w:r w:rsidRPr="00AB10C3">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3.</w:t>
      </w:r>
      <w:r>
        <w:rPr>
          <w:rFonts w:ascii="Times New Roman" w:hAnsi="Times New Roman"/>
          <w:sz w:val="24"/>
          <w:szCs w:val="24"/>
        </w:rPr>
        <w:t xml:space="preserve"> </w:t>
      </w:r>
      <w:r w:rsidRPr="00AB10C3">
        <w:rPr>
          <w:rFonts w:ascii="Times New Roman" w:hAnsi="Times New Roman"/>
          <w:sz w:val="24"/>
          <w:szCs w:val="24"/>
        </w:rPr>
        <w:t xml:space="preserve">Статистичні показники, які використовуються при розрахунку прогнозних надходжень податків та зборів. </w:t>
      </w:r>
    </w:p>
    <w:p w:rsidR="00DF16AE" w:rsidRDefault="00DF16AE" w:rsidP="007759A2">
      <w:pPr>
        <w:spacing w:line="240" w:lineRule="auto"/>
        <w:ind w:firstLine="708"/>
        <w:jc w:val="both"/>
        <w:rPr>
          <w:rFonts w:ascii="Times New Roman" w:hAnsi="Times New Roman"/>
          <w:sz w:val="24"/>
          <w:szCs w:val="24"/>
        </w:rPr>
      </w:pPr>
      <w:r w:rsidRPr="00AB10C3">
        <w:rPr>
          <w:rFonts w:ascii="Times New Roman" w:hAnsi="Times New Roman"/>
          <w:sz w:val="24"/>
          <w:szCs w:val="24"/>
        </w:rPr>
        <w:t xml:space="preserve">4. Фактичне виконання дохідної частини </w:t>
      </w:r>
      <w:r>
        <w:rPr>
          <w:rFonts w:ascii="Times New Roman" w:hAnsi="Times New Roman"/>
          <w:sz w:val="24"/>
          <w:szCs w:val="24"/>
        </w:rPr>
        <w:t>міського</w:t>
      </w:r>
      <w:r w:rsidRPr="00AB10C3">
        <w:rPr>
          <w:rFonts w:ascii="Times New Roman" w:hAnsi="Times New Roman"/>
          <w:sz w:val="24"/>
          <w:szCs w:val="24"/>
        </w:rPr>
        <w:t xml:space="preserve"> бюджету за 10 місяців 2018 року. Індикативні прогнозні показники </w:t>
      </w:r>
      <w:r>
        <w:rPr>
          <w:rFonts w:ascii="Times New Roman" w:hAnsi="Times New Roman"/>
          <w:sz w:val="24"/>
          <w:szCs w:val="24"/>
        </w:rPr>
        <w:t>міського</w:t>
      </w:r>
      <w:r w:rsidRPr="00AB10C3">
        <w:rPr>
          <w:rFonts w:ascii="Times New Roman" w:hAnsi="Times New Roman"/>
          <w:sz w:val="24"/>
          <w:szCs w:val="24"/>
        </w:rPr>
        <w:t xml:space="preserve"> бюджету на 2020 та 2021 роки є основою для складання головними розпорядниками бюджетних коштів планів своєї діяльності та формування показників проектів </w:t>
      </w:r>
      <w:r>
        <w:rPr>
          <w:rFonts w:ascii="Times New Roman" w:hAnsi="Times New Roman"/>
          <w:sz w:val="24"/>
          <w:szCs w:val="24"/>
        </w:rPr>
        <w:t>міського</w:t>
      </w:r>
      <w:r w:rsidRPr="00AB10C3">
        <w:rPr>
          <w:rFonts w:ascii="Times New Roman" w:hAnsi="Times New Roman"/>
          <w:sz w:val="24"/>
          <w:szCs w:val="24"/>
        </w:rPr>
        <w:t xml:space="preserve"> бюджету на 2020 рік та 2021 рік. Можливі ризики невиконання прогнозних показників: при несприятливих зовнішніх факторах на економіку України і, як наслідок, на фінансово-економічну ситуацію регіону, можливе недосягнення запланованих темпів зростання фонду оплати праці, що призведе до невиконання прогнозних показників з податку на доходи фізичних осіб. </w:t>
      </w: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2. Індикативні прогнозні показники міського бюджету об’єднаної територіальної громади на 2020-2021 роки за доходами</w:t>
      </w:r>
    </w:p>
    <w:p w:rsidR="00DF16AE" w:rsidRPr="00AB10C3"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Pr="00AB10C3">
        <w:rPr>
          <w:rFonts w:ascii="Times New Roman" w:hAnsi="Times New Roman"/>
          <w:sz w:val="24"/>
          <w:szCs w:val="24"/>
        </w:rPr>
        <w:t xml:space="preserve">Відповідно до прогнозних розрахунків власні доходи загального фонду (без урахування міжбюджетних трансфертів) </w:t>
      </w:r>
      <w:r>
        <w:rPr>
          <w:rFonts w:ascii="Times New Roman" w:hAnsi="Times New Roman"/>
          <w:sz w:val="24"/>
          <w:szCs w:val="24"/>
        </w:rPr>
        <w:t>міського</w:t>
      </w:r>
      <w:r w:rsidRPr="00AB10C3">
        <w:rPr>
          <w:rFonts w:ascii="Times New Roman" w:hAnsi="Times New Roman"/>
          <w:sz w:val="24"/>
          <w:szCs w:val="24"/>
        </w:rPr>
        <w:t xml:space="preserve"> бюджету на 20</w:t>
      </w:r>
      <w:r>
        <w:rPr>
          <w:rFonts w:ascii="Times New Roman" w:hAnsi="Times New Roman"/>
          <w:sz w:val="24"/>
          <w:szCs w:val="24"/>
        </w:rPr>
        <w:t>20 рік становлять у сумі                                                           73220,8 тис. грн., що на 6534,6 тис. грн. або на 9,8</w:t>
      </w:r>
      <w:r w:rsidRPr="00AB10C3">
        <w:rPr>
          <w:rFonts w:ascii="Times New Roman" w:hAnsi="Times New Roman"/>
          <w:sz w:val="24"/>
          <w:szCs w:val="24"/>
        </w:rPr>
        <w:t xml:space="preserve"> відсотка більше, ніж передбачено на 20</w:t>
      </w:r>
      <w:r>
        <w:rPr>
          <w:rFonts w:ascii="Times New Roman" w:hAnsi="Times New Roman"/>
          <w:sz w:val="24"/>
          <w:szCs w:val="24"/>
        </w:rPr>
        <w:t>19 рік, та на 2021 рік – 83889,3 тис. грн., що на 10668,5 тис. грн., або на 14,5</w:t>
      </w:r>
      <w:r w:rsidRPr="00AB10C3">
        <w:rPr>
          <w:rFonts w:ascii="Times New Roman" w:hAnsi="Times New Roman"/>
          <w:sz w:val="24"/>
          <w:szCs w:val="24"/>
        </w:rPr>
        <w:t xml:space="preserve"> відсотка більше, ніж прогнозується на</w:t>
      </w:r>
      <w:r>
        <w:rPr>
          <w:rFonts w:ascii="Times New Roman" w:hAnsi="Times New Roman"/>
          <w:sz w:val="24"/>
          <w:szCs w:val="24"/>
        </w:rPr>
        <w:t xml:space="preserve"> 2020 рік.</w:t>
      </w:r>
    </w:p>
    <w:p w:rsidR="00DF16AE" w:rsidRPr="00AB10C3" w:rsidRDefault="00DF16AE" w:rsidP="007759A2">
      <w:pPr>
        <w:spacing w:line="240" w:lineRule="auto"/>
        <w:jc w:val="right"/>
        <w:rPr>
          <w:rFonts w:ascii="Times New Roman" w:hAnsi="Times New Roman"/>
          <w:sz w:val="24"/>
          <w:szCs w:val="24"/>
        </w:rPr>
      </w:pPr>
      <w:r w:rsidRPr="00AB10C3">
        <w:rPr>
          <w:rFonts w:ascii="Times New Roman" w:hAnsi="Times New Roman"/>
          <w:sz w:val="24"/>
          <w:szCs w:val="24"/>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3965"/>
        <w:gridCol w:w="2070"/>
        <w:gridCol w:w="1905"/>
      </w:tblGrid>
      <w:tr w:rsidR="00DF16AE" w:rsidRPr="00056A73" w:rsidTr="00150F56">
        <w:tc>
          <w:tcPr>
            <w:tcW w:w="1636" w:type="dxa"/>
            <w:vMerge w:val="restart"/>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Код</w:t>
            </w:r>
          </w:p>
        </w:tc>
        <w:tc>
          <w:tcPr>
            <w:tcW w:w="3965" w:type="dxa"/>
            <w:vMerge w:val="restart"/>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Найменування доходів</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2020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2021</w:t>
            </w:r>
          </w:p>
        </w:tc>
      </w:tr>
      <w:tr w:rsidR="00DF16AE" w:rsidRPr="00056A73" w:rsidTr="00150F56">
        <w:tc>
          <w:tcPr>
            <w:tcW w:w="1636" w:type="dxa"/>
            <w:vMerge/>
          </w:tcPr>
          <w:p w:rsidR="00DF16AE" w:rsidRPr="00056A73" w:rsidRDefault="00DF16AE" w:rsidP="007759A2">
            <w:pPr>
              <w:spacing w:after="0" w:line="240" w:lineRule="auto"/>
              <w:jc w:val="both"/>
              <w:rPr>
                <w:rFonts w:ascii="Times New Roman" w:hAnsi="Times New Roman"/>
                <w:sz w:val="24"/>
                <w:szCs w:val="24"/>
              </w:rPr>
            </w:pPr>
          </w:p>
        </w:tc>
        <w:tc>
          <w:tcPr>
            <w:tcW w:w="3965" w:type="dxa"/>
            <w:vMerge/>
          </w:tcPr>
          <w:p w:rsidR="00DF16AE" w:rsidRPr="00056A73" w:rsidRDefault="00DF16AE" w:rsidP="007759A2">
            <w:pPr>
              <w:spacing w:after="0" w:line="240" w:lineRule="auto"/>
              <w:jc w:val="both"/>
              <w:rPr>
                <w:rFonts w:ascii="Times New Roman" w:hAnsi="Times New Roman"/>
                <w:sz w:val="24"/>
                <w:szCs w:val="24"/>
              </w:rPr>
            </w:pP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Загальний фонд</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Загальний фонд</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10000000</w:t>
            </w:r>
          </w:p>
        </w:tc>
        <w:tc>
          <w:tcPr>
            <w:tcW w:w="3965"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Податкові надходження</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73020,8</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83589,3</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11000000</w:t>
            </w:r>
          </w:p>
        </w:tc>
        <w:tc>
          <w:tcPr>
            <w:tcW w:w="3965"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Податки на доходи, податки на прибуток, податки на збільшення ринкової вартості  </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57014,0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65562,5</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11010000</w:t>
            </w:r>
          </w:p>
        </w:tc>
        <w:tc>
          <w:tcPr>
            <w:tcW w:w="3965"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Податок та збір на доходи фізичних осіб</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57014,0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65562,5</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11010100</w:t>
            </w:r>
          </w:p>
        </w:tc>
        <w:tc>
          <w:tcPr>
            <w:tcW w:w="3965"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Податок на доходи фізичних осіб, що сплачується податковими агентами, із доходів платника податку у вигляді заробітної плати</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55216,0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63498,0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11010400</w:t>
            </w:r>
          </w:p>
        </w:tc>
        <w:tc>
          <w:tcPr>
            <w:tcW w:w="3965"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Податок на доходи фізичних осіб, що сплачується податковими агентами, із доходів платника податку інших ніж заробітна плата</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1568,0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1800,0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11010500</w:t>
            </w:r>
          </w:p>
        </w:tc>
        <w:tc>
          <w:tcPr>
            <w:tcW w:w="3965"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Податок на доходи фізичних осіб, що сплачується фізичними особами за результатами річного декларування</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230,0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264,5</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14000000</w:t>
            </w:r>
          </w:p>
        </w:tc>
        <w:tc>
          <w:tcPr>
            <w:tcW w:w="3965"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Внутрішні податки на товари та послуги  </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1725,0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1985,0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14040000</w:t>
            </w:r>
          </w:p>
        </w:tc>
        <w:tc>
          <w:tcPr>
            <w:tcW w:w="3965"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Акцизний податок з реалізації суб`єктами господарювання роздрібної торгівлі підакцизних товарів </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1725,0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1985,0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18000000</w:t>
            </w:r>
          </w:p>
        </w:tc>
        <w:tc>
          <w:tcPr>
            <w:tcW w:w="3965"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Місцеві податки </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14281,8</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16041,8</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18010000</w:t>
            </w:r>
          </w:p>
        </w:tc>
        <w:tc>
          <w:tcPr>
            <w:tcW w:w="3965"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Податок на майно </w:t>
            </w:r>
          </w:p>
        </w:tc>
        <w:tc>
          <w:tcPr>
            <w:tcW w:w="207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9740,0</w:t>
            </w:r>
          </w:p>
        </w:tc>
        <w:tc>
          <w:tcPr>
            <w:tcW w:w="1905"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10903,0</w:t>
            </w:r>
          </w:p>
        </w:tc>
      </w:tr>
    </w:tbl>
    <w:p w:rsidR="00DF16AE" w:rsidRDefault="00DF16AE"/>
    <w:p w:rsidR="00DF16AE" w:rsidRDefault="00DF16AE"/>
    <w:p w:rsidR="00DF16AE" w:rsidRDefault="00DF1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4002"/>
        <w:gridCol w:w="2031"/>
        <w:gridCol w:w="1907"/>
      </w:tblGrid>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18010400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1400,0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1568,0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18010500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Земельний податок з юридичних осіб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3915,0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4385,0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18010600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Орендна плата з юридичних осіб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3530,0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3953,0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18010700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Земельний податок з фізичних осіб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145,0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162,0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18010900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Орендна плата з фізичних осіб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750,0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835,0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18050000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Єдиний податок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4541,8</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5138,8</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18050300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Єдиний податок з юридичних осіб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188,0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210,0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18050400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Єдиний податок з фізичних осіб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2615,0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2928,8</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18050500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Єдиний податок з сільськогосподарських товаро</w:t>
            </w:r>
            <w:r>
              <w:rPr>
                <w:rFonts w:ascii="Times New Roman" w:hAnsi="Times New Roman"/>
                <w:sz w:val="24"/>
                <w:szCs w:val="24"/>
              </w:rPr>
              <w:t>-</w:t>
            </w:r>
            <w:r w:rsidRPr="00056A73">
              <w:rPr>
                <w:rFonts w:ascii="Times New Roman" w:hAnsi="Times New Roman"/>
                <w:sz w:val="24"/>
                <w:szCs w:val="24"/>
              </w:rPr>
              <w:t>виробників, у яких частка сільськогосподарського товаро</w:t>
            </w:r>
            <w:r>
              <w:rPr>
                <w:rFonts w:ascii="Times New Roman" w:hAnsi="Times New Roman"/>
                <w:sz w:val="24"/>
                <w:szCs w:val="24"/>
              </w:rPr>
              <w:t>-</w:t>
            </w:r>
            <w:r w:rsidRPr="00056A73">
              <w:rPr>
                <w:rFonts w:ascii="Times New Roman" w:hAnsi="Times New Roman"/>
                <w:sz w:val="24"/>
                <w:szCs w:val="24"/>
              </w:rPr>
              <w:t>виробництва за попередній податковий (звітний) рік дорівнює або перевищує 75 відсотків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1738,8</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2000,0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20000000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Неподаткові надходження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300,0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22000000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Адміністративні збори та платежі, доходи від некомерційної господарської діяльності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300,0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22010000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Плата за надання адміністративних послуг</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300,0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22012500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Плата за надання інших адміністративних послуг</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100,0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150,0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22012600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Адміністративний збір за державну реєстрацію речових прав на нерухоме майно та їх обтяжень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100,0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150,0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40000000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Офіційні трансферти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31769,0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37465,0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41000000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Від органів державного управління  </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31769,0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37465,0</w:t>
            </w:r>
          </w:p>
        </w:tc>
      </w:tr>
      <w:tr w:rsidR="00DF16AE" w:rsidRPr="00056A73" w:rsidTr="00150F56">
        <w:tc>
          <w:tcPr>
            <w:tcW w:w="1636"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41030000</w:t>
            </w:r>
          </w:p>
        </w:tc>
        <w:tc>
          <w:tcPr>
            <w:tcW w:w="4002" w:type="dxa"/>
            <w:vAlign w:val="bottom"/>
          </w:tcPr>
          <w:p w:rsidR="00DF16AE" w:rsidRPr="00056A73" w:rsidRDefault="00DF16AE" w:rsidP="007759A2">
            <w:pPr>
              <w:spacing w:after="0" w:line="240" w:lineRule="auto"/>
              <w:jc w:val="both"/>
              <w:rPr>
                <w:rFonts w:ascii="Times New Roman" w:hAnsi="Times New Roman"/>
                <w:color w:val="000000"/>
                <w:sz w:val="24"/>
                <w:szCs w:val="24"/>
              </w:rPr>
            </w:pPr>
            <w:r w:rsidRPr="00056A73">
              <w:rPr>
                <w:rFonts w:ascii="Times New Roman" w:hAnsi="Times New Roman"/>
                <w:color w:val="000000"/>
                <w:sz w:val="24"/>
                <w:szCs w:val="24"/>
              </w:rPr>
              <w:t>Субвенції з державного бюджету місцевим бюджетам</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27849,0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33415,0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41040000</w:t>
            </w:r>
          </w:p>
        </w:tc>
        <w:tc>
          <w:tcPr>
            <w:tcW w:w="400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Дотації з місцевих бюджетів іншим місцевим бюджетам</w:t>
            </w:r>
          </w:p>
        </w:tc>
        <w:tc>
          <w:tcPr>
            <w:tcW w:w="2031"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3920,0</w:t>
            </w:r>
          </w:p>
        </w:tc>
        <w:tc>
          <w:tcPr>
            <w:tcW w:w="190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4050,0</w:t>
            </w:r>
          </w:p>
        </w:tc>
      </w:tr>
      <w:tr w:rsidR="00DF16AE" w:rsidRPr="00056A73" w:rsidTr="00150F56">
        <w:tc>
          <w:tcPr>
            <w:tcW w:w="1636" w:type="dxa"/>
          </w:tcPr>
          <w:p w:rsidR="00DF16AE" w:rsidRPr="00056A73" w:rsidRDefault="00DF16AE" w:rsidP="007759A2">
            <w:pPr>
              <w:spacing w:after="0" w:line="240" w:lineRule="auto"/>
              <w:jc w:val="both"/>
              <w:rPr>
                <w:rFonts w:ascii="Times New Roman" w:hAnsi="Times New Roman"/>
                <w:sz w:val="24"/>
                <w:szCs w:val="24"/>
              </w:rPr>
            </w:pPr>
          </w:p>
        </w:tc>
        <w:tc>
          <w:tcPr>
            <w:tcW w:w="4002" w:type="dxa"/>
          </w:tcPr>
          <w:p w:rsidR="00DF16AE" w:rsidRPr="007759A2" w:rsidRDefault="00DF16AE" w:rsidP="007759A2">
            <w:pPr>
              <w:spacing w:after="0" w:line="240" w:lineRule="auto"/>
              <w:jc w:val="both"/>
              <w:rPr>
                <w:rFonts w:ascii="Times New Roman" w:hAnsi="Times New Roman"/>
                <w:b/>
                <w:sz w:val="24"/>
                <w:szCs w:val="24"/>
              </w:rPr>
            </w:pPr>
            <w:r w:rsidRPr="007759A2">
              <w:rPr>
                <w:rFonts w:ascii="Times New Roman" w:hAnsi="Times New Roman"/>
                <w:b/>
                <w:sz w:val="24"/>
                <w:szCs w:val="24"/>
              </w:rPr>
              <w:t>Разом</w:t>
            </w:r>
          </w:p>
        </w:tc>
        <w:tc>
          <w:tcPr>
            <w:tcW w:w="2031" w:type="dxa"/>
          </w:tcPr>
          <w:p w:rsidR="00DF16AE" w:rsidRPr="007759A2" w:rsidRDefault="00DF16AE" w:rsidP="007759A2">
            <w:pPr>
              <w:spacing w:after="0" w:line="240" w:lineRule="auto"/>
              <w:jc w:val="center"/>
              <w:rPr>
                <w:rFonts w:ascii="Times New Roman" w:hAnsi="Times New Roman"/>
                <w:b/>
                <w:sz w:val="24"/>
                <w:szCs w:val="24"/>
              </w:rPr>
            </w:pPr>
            <w:r w:rsidRPr="007759A2">
              <w:rPr>
                <w:rFonts w:ascii="Times New Roman" w:hAnsi="Times New Roman"/>
                <w:b/>
                <w:sz w:val="24"/>
                <w:szCs w:val="24"/>
              </w:rPr>
              <w:t>104989,8</w:t>
            </w:r>
          </w:p>
        </w:tc>
        <w:tc>
          <w:tcPr>
            <w:tcW w:w="1907" w:type="dxa"/>
          </w:tcPr>
          <w:p w:rsidR="00DF16AE" w:rsidRPr="007759A2" w:rsidRDefault="00DF16AE" w:rsidP="007759A2">
            <w:pPr>
              <w:spacing w:after="0" w:line="240" w:lineRule="auto"/>
              <w:jc w:val="center"/>
              <w:rPr>
                <w:rFonts w:ascii="Times New Roman" w:hAnsi="Times New Roman"/>
                <w:b/>
                <w:sz w:val="24"/>
                <w:szCs w:val="24"/>
              </w:rPr>
            </w:pPr>
            <w:r w:rsidRPr="007759A2">
              <w:rPr>
                <w:rFonts w:ascii="Times New Roman" w:hAnsi="Times New Roman"/>
                <w:b/>
                <w:sz w:val="24"/>
                <w:szCs w:val="24"/>
              </w:rPr>
              <w:t>121354,3</w:t>
            </w:r>
          </w:p>
        </w:tc>
      </w:tr>
    </w:tbl>
    <w:p w:rsidR="00DF16AE" w:rsidRPr="00AB10C3" w:rsidRDefault="00DF16AE" w:rsidP="007759A2">
      <w:pPr>
        <w:spacing w:line="240" w:lineRule="auto"/>
        <w:jc w:val="both"/>
        <w:rPr>
          <w:rFonts w:ascii="Times New Roman" w:hAnsi="Times New Roman"/>
          <w:sz w:val="24"/>
          <w:szCs w:val="24"/>
        </w:rPr>
      </w:pPr>
      <w:r w:rsidRPr="00AB10C3">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3986"/>
        <w:gridCol w:w="2066"/>
        <w:gridCol w:w="1907"/>
      </w:tblGrid>
      <w:tr w:rsidR="00DF16AE" w:rsidRPr="00056A73" w:rsidTr="00056A73">
        <w:tc>
          <w:tcPr>
            <w:tcW w:w="1668"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Код</w:t>
            </w:r>
          </w:p>
        </w:tc>
        <w:tc>
          <w:tcPr>
            <w:tcW w:w="4110"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Найменування доходів</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2020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2021</w:t>
            </w:r>
          </w:p>
        </w:tc>
      </w:tr>
      <w:tr w:rsidR="00DF16AE" w:rsidRPr="00056A73" w:rsidTr="00056A73">
        <w:tc>
          <w:tcPr>
            <w:tcW w:w="1668" w:type="dxa"/>
          </w:tcPr>
          <w:p w:rsidR="00DF16AE" w:rsidRPr="00056A73" w:rsidRDefault="00DF16AE" w:rsidP="007759A2">
            <w:pPr>
              <w:spacing w:after="0" w:line="240" w:lineRule="auto"/>
              <w:jc w:val="both"/>
              <w:rPr>
                <w:rFonts w:ascii="Times New Roman" w:hAnsi="Times New Roman"/>
                <w:sz w:val="24"/>
                <w:szCs w:val="24"/>
              </w:rPr>
            </w:pPr>
          </w:p>
        </w:tc>
        <w:tc>
          <w:tcPr>
            <w:tcW w:w="4110" w:type="dxa"/>
          </w:tcPr>
          <w:p w:rsidR="00DF16AE" w:rsidRPr="00056A73" w:rsidRDefault="00DF16AE" w:rsidP="007759A2">
            <w:pPr>
              <w:spacing w:after="0" w:line="240" w:lineRule="auto"/>
              <w:jc w:val="both"/>
              <w:rPr>
                <w:rFonts w:ascii="Times New Roman" w:hAnsi="Times New Roman"/>
                <w:sz w:val="24"/>
                <w:szCs w:val="24"/>
              </w:rPr>
            </w:pP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Спеціальний фонд</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Спеціальний фонд</w:t>
            </w:r>
          </w:p>
        </w:tc>
      </w:tr>
      <w:tr w:rsidR="00DF16AE" w:rsidRPr="00056A73" w:rsidTr="00056A73">
        <w:tc>
          <w:tcPr>
            <w:tcW w:w="1668"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19010000</w:t>
            </w:r>
          </w:p>
        </w:tc>
        <w:tc>
          <w:tcPr>
            <w:tcW w:w="4110"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Екологічний податок </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45,6</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54,7</w:t>
            </w:r>
          </w:p>
        </w:tc>
      </w:tr>
      <w:tr w:rsidR="00DF16AE" w:rsidRPr="00056A73" w:rsidTr="00056A73">
        <w:tc>
          <w:tcPr>
            <w:tcW w:w="1668"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33010100</w:t>
            </w:r>
          </w:p>
        </w:tc>
        <w:tc>
          <w:tcPr>
            <w:tcW w:w="4110"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450,0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600,0</w:t>
            </w:r>
          </w:p>
        </w:tc>
      </w:tr>
      <w:tr w:rsidR="00DF16AE" w:rsidRPr="00056A73" w:rsidTr="00056A73">
        <w:tc>
          <w:tcPr>
            <w:tcW w:w="1668" w:type="dxa"/>
          </w:tcPr>
          <w:p w:rsidR="00DF16AE" w:rsidRPr="00056A73" w:rsidRDefault="00DF16AE" w:rsidP="007759A2">
            <w:pPr>
              <w:spacing w:after="0" w:line="240" w:lineRule="auto"/>
              <w:jc w:val="both"/>
              <w:rPr>
                <w:rFonts w:ascii="Times New Roman" w:hAnsi="Times New Roman"/>
                <w:sz w:val="24"/>
                <w:szCs w:val="24"/>
              </w:rPr>
            </w:pPr>
          </w:p>
        </w:tc>
        <w:tc>
          <w:tcPr>
            <w:tcW w:w="4110" w:type="dxa"/>
          </w:tcPr>
          <w:p w:rsidR="00DF16AE" w:rsidRPr="007759A2" w:rsidRDefault="00DF16AE" w:rsidP="007759A2">
            <w:pPr>
              <w:spacing w:after="0" w:line="240" w:lineRule="auto"/>
              <w:jc w:val="both"/>
              <w:rPr>
                <w:rFonts w:ascii="Times New Roman" w:hAnsi="Times New Roman"/>
                <w:b/>
                <w:sz w:val="24"/>
                <w:szCs w:val="24"/>
              </w:rPr>
            </w:pPr>
            <w:r w:rsidRPr="007759A2">
              <w:rPr>
                <w:rFonts w:ascii="Times New Roman" w:hAnsi="Times New Roman"/>
                <w:b/>
                <w:sz w:val="24"/>
                <w:szCs w:val="24"/>
              </w:rPr>
              <w:t>Разом</w:t>
            </w:r>
          </w:p>
        </w:tc>
        <w:tc>
          <w:tcPr>
            <w:tcW w:w="2127" w:type="dxa"/>
          </w:tcPr>
          <w:p w:rsidR="00DF16AE" w:rsidRPr="007759A2" w:rsidRDefault="00DF16AE" w:rsidP="007759A2">
            <w:pPr>
              <w:spacing w:after="0" w:line="240" w:lineRule="auto"/>
              <w:jc w:val="center"/>
              <w:rPr>
                <w:rFonts w:ascii="Times New Roman" w:hAnsi="Times New Roman"/>
                <w:b/>
                <w:sz w:val="24"/>
                <w:szCs w:val="24"/>
              </w:rPr>
            </w:pPr>
            <w:r w:rsidRPr="007759A2">
              <w:rPr>
                <w:rFonts w:ascii="Times New Roman" w:hAnsi="Times New Roman"/>
                <w:b/>
                <w:sz w:val="24"/>
                <w:szCs w:val="24"/>
              </w:rPr>
              <w:t>495,6</w:t>
            </w:r>
          </w:p>
        </w:tc>
        <w:tc>
          <w:tcPr>
            <w:tcW w:w="1950" w:type="dxa"/>
          </w:tcPr>
          <w:p w:rsidR="00DF16AE" w:rsidRPr="007759A2" w:rsidRDefault="00DF16AE" w:rsidP="007759A2">
            <w:pPr>
              <w:spacing w:after="0" w:line="240" w:lineRule="auto"/>
              <w:jc w:val="center"/>
              <w:rPr>
                <w:rFonts w:ascii="Times New Roman" w:hAnsi="Times New Roman"/>
                <w:b/>
                <w:sz w:val="24"/>
                <w:szCs w:val="24"/>
              </w:rPr>
            </w:pPr>
            <w:r w:rsidRPr="007759A2">
              <w:rPr>
                <w:rFonts w:ascii="Times New Roman" w:hAnsi="Times New Roman"/>
                <w:b/>
                <w:sz w:val="24"/>
                <w:szCs w:val="24"/>
              </w:rPr>
              <w:t>654,7</w:t>
            </w:r>
          </w:p>
        </w:tc>
      </w:tr>
    </w:tbl>
    <w:p w:rsidR="00DF16AE" w:rsidRPr="00AB10C3" w:rsidRDefault="00DF16AE" w:rsidP="007759A2">
      <w:pPr>
        <w:spacing w:line="240" w:lineRule="auto"/>
        <w:jc w:val="both"/>
        <w:rPr>
          <w:rFonts w:ascii="Times New Roman" w:hAnsi="Times New Roman"/>
          <w:sz w:val="24"/>
          <w:szCs w:val="24"/>
        </w:rPr>
      </w:pPr>
    </w:p>
    <w:p w:rsidR="00DF16AE" w:rsidRDefault="00DF16AE" w:rsidP="007759A2">
      <w:pPr>
        <w:spacing w:line="240" w:lineRule="auto"/>
        <w:jc w:val="center"/>
        <w:rPr>
          <w:rFonts w:ascii="Times New Roman" w:hAnsi="Times New Roman"/>
          <w:b/>
          <w:sz w:val="24"/>
          <w:szCs w:val="24"/>
        </w:rPr>
      </w:pP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3. Використання бюджетних коштів в основних сферах діяльності</w:t>
      </w:r>
    </w:p>
    <w:p w:rsidR="00DF16AE" w:rsidRPr="00AB10C3" w:rsidRDefault="00DF16AE" w:rsidP="007759A2">
      <w:pPr>
        <w:spacing w:line="240" w:lineRule="auto"/>
        <w:jc w:val="center"/>
        <w:rPr>
          <w:rFonts w:ascii="Times New Roman" w:hAnsi="Times New Roman"/>
          <w:sz w:val="24"/>
          <w:szCs w:val="24"/>
        </w:rPr>
      </w:pPr>
      <w:r w:rsidRPr="00AB10C3">
        <w:rPr>
          <w:rFonts w:ascii="Times New Roman" w:hAnsi="Times New Roman"/>
          <w:sz w:val="24"/>
          <w:szCs w:val="24"/>
        </w:rPr>
        <w:t>Індикативні прогнозні показники бюджету на 2020-2021 роки за видатками та кредитуванням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0"/>
        <w:gridCol w:w="4113"/>
        <w:gridCol w:w="2075"/>
        <w:gridCol w:w="1908"/>
      </w:tblGrid>
      <w:tr w:rsidR="00DF16AE" w:rsidRPr="00056A73" w:rsidTr="00056A73">
        <w:tc>
          <w:tcPr>
            <w:tcW w:w="1526" w:type="dxa"/>
            <w:vMerge w:val="restart"/>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Код</w:t>
            </w:r>
          </w:p>
        </w:tc>
        <w:tc>
          <w:tcPr>
            <w:tcW w:w="4252" w:type="dxa"/>
            <w:vMerge w:val="restart"/>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Найменування коду бюджетної класифікації</w:t>
            </w:r>
          </w:p>
        </w:tc>
        <w:tc>
          <w:tcPr>
            <w:tcW w:w="4077" w:type="dxa"/>
            <w:gridSpan w:val="2"/>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Обсяг, тис.</w:t>
            </w:r>
            <w:r>
              <w:rPr>
                <w:rFonts w:ascii="Times New Roman" w:hAnsi="Times New Roman"/>
                <w:sz w:val="24"/>
                <w:szCs w:val="24"/>
              </w:rPr>
              <w:t xml:space="preserve"> </w:t>
            </w:r>
            <w:r w:rsidRPr="00056A73">
              <w:rPr>
                <w:rFonts w:ascii="Times New Roman" w:hAnsi="Times New Roman"/>
                <w:sz w:val="24"/>
                <w:szCs w:val="24"/>
              </w:rPr>
              <w:t>грн.</w:t>
            </w:r>
          </w:p>
        </w:tc>
      </w:tr>
      <w:tr w:rsidR="00DF16AE" w:rsidRPr="00056A73" w:rsidTr="00056A73">
        <w:tc>
          <w:tcPr>
            <w:tcW w:w="1526" w:type="dxa"/>
            <w:vMerge/>
          </w:tcPr>
          <w:p w:rsidR="00DF16AE" w:rsidRPr="00056A73" w:rsidRDefault="00DF16AE" w:rsidP="007759A2">
            <w:pPr>
              <w:spacing w:after="0" w:line="240" w:lineRule="auto"/>
              <w:jc w:val="both"/>
              <w:rPr>
                <w:rFonts w:ascii="Times New Roman" w:hAnsi="Times New Roman"/>
                <w:sz w:val="24"/>
                <w:szCs w:val="24"/>
              </w:rPr>
            </w:pPr>
          </w:p>
        </w:tc>
        <w:tc>
          <w:tcPr>
            <w:tcW w:w="4252" w:type="dxa"/>
            <w:vMerge/>
          </w:tcPr>
          <w:p w:rsidR="00DF16AE" w:rsidRPr="00056A73" w:rsidRDefault="00DF16AE" w:rsidP="007759A2">
            <w:pPr>
              <w:spacing w:after="0" w:line="240" w:lineRule="auto"/>
              <w:jc w:val="both"/>
              <w:rPr>
                <w:rFonts w:ascii="Times New Roman" w:hAnsi="Times New Roman"/>
                <w:sz w:val="24"/>
                <w:szCs w:val="24"/>
              </w:rPr>
            </w:pP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2020 (прогноз)</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2021 (прогноз)</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Загальний фонд разом, у т.ч.</w:t>
            </w:r>
          </w:p>
          <w:p w:rsidR="00DF16AE" w:rsidRPr="00056A73" w:rsidRDefault="00DF16AE" w:rsidP="007759A2">
            <w:pPr>
              <w:spacing w:after="0" w:line="240" w:lineRule="auto"/>
              <w:jc w:val="both"/>
              <w:rPr>
                <w:rFonts w:ascii="Times New Roman" w:hAnsi="Times New Roman"/>
                <w:sz w:val="24"/>
                <w:szCs w:val="24"/>
              </w:rPr>
            </w:pP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94441,6</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103673,7</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0100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Державне управління</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9517,6</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9995,7</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Освіта</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49163,3</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51878,1</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2000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Охорона здоров</w:t>
            </w:r>
            <w:r w:rsidRPr="00056A73">
              <w:rPr>
                <w:rFonts w:ascii="Times New Roman" w:hAnsi="Times New Roman"/>
                <w:sz w:val="24"/>
                <w:szCs w:val="24"/>
                <w:lang w:val="en-US"/>
              </w:rPr>
              <w:t>’</w:t>
            </w:r>
            <w:r w:rsidRPr="00056A73">
              <w:rPr>
                <w:rFonts w:ascii="Times New Roman" w:hAnsi="Times New Roman"/>
                <w:sz w:val="24"/>
                <w:szCs w:val="24"/>
              </w:rPr>
              <w:t>я</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12691,6</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15220,0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3000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Соціальний захист та соціальне забезпечення</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3110,5</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3732,6</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4000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Культура і мистецтво</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6006,7</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7208,1</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5000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Фізична культура і спорт</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907,4</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1088,9</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6000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Житлово-комунальне господарство</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6000,0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7200,0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7600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Інші програми та заходи, пов'язані з економічної діяльністю</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360,0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8000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Інша діяльність</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120,0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150,0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9410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Субвенції з місцевого бюджету на здійснення переданих видатків у сфері охорони здоров`я за рахунок коштів медичної субвенції</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1800,0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1800,0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9770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Інші субвенції з місцевого бюджету</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373,9</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390,1</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9110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Реверсна дотація </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4390,6</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4610,2</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Спеціальний фонд разом у т.ч.</w:t>
            </w:r>
          </w:p>
        </w:tc>
        <w:tc>
          <w:tcPr>
            <w:tcW w:w="2127" w:type="dxa"/>
          </w:tcPr>
          <w:p w:rsidR="00DF16AE" w:rsidRPr="00056A73" w:rsidRDefault="00DF16AE" w:rsidP="007759A2">
            <w:pPr>
              <w:spacing w:after="0" w:line="240" w:lineRule="auto"/>
              <w:jc w:val="center"/>
              <w:rPr>
                <w:rFonts w:ascii="Times New Roman" w:hAnsi="Times New Roman"/>
                <w:sz w:val="24"/>
                <w:szCs w:val="24"/>
              </w:rPr>
            </w:pPr>
          </w:p>
        </w:tc>
        <w:tc>
          <w:tcPr>
            <w:tcW w:w="1950" w:type="dxa"/>
          </w:tcPr>
          <w:p w:rsidR="00DF16AE" w:rsidRPr="00056A73" w:rsidRDefault="00DF16AE" w:rsidP="007759A2">
            <w:pPr>
              <w:spacing w:after="0" w:line="240" w:lineRule="auto"/>
              <w:jc w:val="center"/>
              <w:rPr>
                <w:rFonts w:ascii="Times New Roman" w:hAnsi="Times New Roman"/>
                <w:sz w:val="24"/>
                <w:szCs w:val="24"/>
              </w:rPr>
            </w:pP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0100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Державне управління</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250,0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1000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Освіта</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500,0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3500,0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2000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Охорона здоров</w:t>
            </w:r>
            <w:r w:rsidRPr="00056A73">
              <w:rPr>
                <w:rFonts w:ascii="Times New Roman" w:hAnsi="Times New Roman"/>
                <w:sz w:val="24"/>
                <w:szCs w:val="24"/>
                <w:lang w:val="en-US"/>
              </w:rPr>
              <w:t>’</w:t>
            </w:r>
            <w:r w:rsidRPr="00056A73">
              <w:rPr>
                <w:rFonts w:ascii="Times New Roman" w:hAnsi="Times New Roman"/>
                <w:sz w:val="24"/>
                <w:szCs w:val="24"/>
              </w:rPr>
              <w:t>я</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450,0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3000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Соціальний захист та соціальне забезпечення</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500,0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4000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Культура і мистецтво</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2500,0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1500,0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6000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Житлово-комунальне господарство</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4000,0</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6500,0</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7300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Будівництво та регіональний розвиток</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2798,2</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5580,6</w:t>
            </w:r>
          </w:p>
        </w:tc>
      </w:tr>
      <w:tr w:rsidR="00DF16AE" w:rsidRPr="00056A73" w:rsidTr="00056A73">
        <w:tc>
          <w:tcPr>
            <w:tcW w:w="1526"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8000</w:t>
            </w:r>
          </w:p>
        </w:tc>
        <w:tc>
          <w:tcPr>
            <w:tcW w:w="4252" w:type="dxa"/>
          </w:tcPr>
          <w:p w:rsidR="00DF16AE" w:rsidRPr="00056A73" w:rsidRDefault="00DF16AE" w:rsidP="007759A2">
            <w:pPr>
              <w:spacing w:after="0" w:line="240" w:lineRule="auto"/>
              <w:jc w:val="both"/>
              <w:rPr>
                <w:rFonts w:ascii="Times New Roman" w:hAnsi="Times New Roman"/>
                <w:sz w:val="24"/>
                <w:szCs w:val="24"/>
              </w:rPr>
            </w:pPr>
            <w:r w:rsidRPr="00056A73">
              <w:rPr>
                <w:rFonts w:ascii="Times New Roman" w:hAnsi="Times New Roman"/>
                <w:sz w:val="24"/>
                <w:szCs w:val="24"/>
              </w:rPr>
              <w:t>Інша діяльність</w:t>
            </w:r>
          </w:p>
        </w:tc>
        <w:tc>
          <w:tcPr>
            <w:tcW w:w="2127"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45,6</w:t>
            </w:r>
          </w:p>
        </w:tc>
        <w:tc>
          <w:tcPr>
            <w:tcW w:w="1950" w:type="dxa"/>
          </w:tcPr>
          <w:p w:rsidR="00DF16AE" w:rsidRPr="00056A73" w:rsidRDefault="00DF16AE" w:rsidP="007759A2">
            <w:pPr>
              <w:spacing w:after="0" w:line="240" w:lineRule="auto"/>
              <w:jc w:val="center"/>
              <w:rPr>
                <w:rFonts w:ascii="Times New Roman" w:hAnsi="Times New Roman"/>
                <w:sz w:val="24"/>
                <w:szCs w:val="24"/>
              </w:rPr>
            </w:pPr>
            <w:r w:rsidRPr="00056A73">
              <w:rPr>
                <w:rFonts w:ascii="Times New Roman" w:hAnsi="Times New Roman"/>
                <w:sz w:val="24"/>
                <w:szCs w:val="24"/>
              </w:rPr>
              <w:t>54,7</w:t>
            </w:r>
          </w:p>
        </w:tc>
      </w:tr>
    </w:tbl>
    <w:p w:rsidR="00DF16AE" w:rsidRDefault="00DF16AE" w:rsidP="007759A2">
      <w:pPr>
        <w:spacing w:line="240" w:lineRule="auto"/>
        <w:jc w:val="both"/>
        <w:rPr>
          <w:rFonts w:ascii="Times New Roman" w:hAnsi="Times New Roman"/>
          <w:sz w:val="24"/>
          <w:szCs w:val="24"/>
        </w:rPr>
      </w:pPr>
    </w:p>
    <w:p w:rsidR="00DF16AE"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r w:rsidRPr="00AB10C3">
        <w:rPr>
          <w:rFonts w:ascii="Times New Roman" w:hAnsi="Times New Roman"/>
          <w:sz w:val="24"/>
          <w:szCs w:val="24"/>
        </w:rPr>
        <w:t xml:space="preserve">Ключовим завданням бюджетної політики залишатиметься забезпечення макроекономічної стабільності, стійкості та збалансованості бюджетної системи. Фінансування бюджетних видатків на період до 2021 року здійснюватиметься в рамках жорсткої економії бюджетних коштів. В цих умовах визначальним стане підвищення ефективності та результативності видатків, що відбуватиметься на основі їх пріоритетності та оцінки ступеня досягнення очікуваних результатів. У середньостроковому періоді бюджетна система України функціонуватиме на засадах Податкового і Бюджетного кодексів України в умовах реформи міжбюджетних відносин, побудованих на принципах децентралізації фінансів та зміцнення фінансової основи місцевого самоврядування, підвищення відповідальності учасників бюджетного процесу. За видами діяльності головними завданнями бюджетної політики будуть такі. </w:t>
      </w:r>
    </w:p>
    <w:p w:rsidR="00DF16AE" w:rsidRDefault="00DF16AE" w:rsidP="007759A2">
      <w:pPr>
        <w:spacing w:line="240" w:lineRule="auto"/>
        <w:jc w:val="both"/>
        <w:rPr>
          <w:rFonts w:ascii="Times New Roman" w:hAnsi="Times New Roman"/>
          <w:sz w:val="24"/>
          <w:szCs w:val="24"/>
        </w:rPr>
      </w:pPr>
    </w:p>
    <w:p w:rsidR="00DF16AE" w:rsidRDefault="00DF16AE" w:rsidP="007759A2">
      <w:pPr>
        <w:spacing w:line="240" w:lineRule="auto"/>
        <w:jc w:val="both"/>
        <w:rPr>
          <w:rFonts w:ascii="Times New Roman" w:hAnsi="Times New Roman"/>
          <w:sz w:val="24"/>
          <w:szCs w:val="24"/>
        </w:rPr>
      </w:pP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Органи місцевого самоврядування</w:t>
      </w:r>
    </w:p>
    <w:p w:rsidR="00DF16AE"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Пріоритетними завданнями апарату селищної ради та її виконавчих органів є забезпечення здійснення повноважень, наданих Конституцією України, Законами України «Про місцеве самоврядування в Україні», «Про службу в органах місцевого самоврядування» та іншими нормативно правовими актами. У 2020 - 2021 роках планується здійснити такі заходи: організаційне, правове, інформаційне, аналітичне, матеріально-технічне забезпечення діяльності ради, виконавчих органів, депутатів, взаємодію і зв’язок з місцевими органами виконавчої влади.</w:t>
      </w: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Освіта</w:t>
      </w:r>
    </w:p>
    <w:p w:rsidR="00DF16AE"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B10C3">
        <w:rPr>
          <w:rFonts w:ascii="Times New Roman" w:hAnsi="Times New Roman"/>
          <w:sz w:val="24"/>
          <w:szCs w:val="24"/>
        </w:rPr>
        <w:t xml:space="preserve">Пріоритетом розвитку галузі освіти буде забезпечення доступності високоякісної освіти для всіх громадян об’єднаної громади незалежно від місця їх проживання. У 2020 та 2021 роках передбачається здійснити такі заходи: - оптимізація мережі навчальних закладів з урахуванням демографічних і економічних реалій; - розвиток і підтримка системи роботи з обдарованою і талановитою молоддю, різнобічний розвиток індивідуальності дитини, її задатків і здібностей; - створення належних умов для здобуття високоякісної освіти дітьми сиротами, дітьми, позбавленими батьківського піклування, - підвищення престижу та соціального статусу педагогічних працівників, стимулювання активної участі вчителів у становленні і розвитку освіти, популяризації кращих педагогічних здобутків і професійної майстерності; - упровадження в навчальних закладах сприятливого середовища, спрямованого на збереження здоров’я учнів; - створення системи позашкільної освіти в громаді; - модернізація матеріально-технічної та методичної бази загальноосвітніх навчальних закладів, підвищення якості освіти. Основними результатами, яких планується досягти, є: - збільшення рівня охоплення дітей дошкільною освітою; - 100-відсоткове охоплення дітей повною загальною середньою освітою; - підвищення рівня забезпечення загальноосвітніх навчальних закладів сучасними комп'ютерними комплексами; підключення загальноосвітніх навчальних закладів до мережі Інтернет; - створення сприятливих умов для якісного харчування учнів; - приведення інформаційної компетентності учасників навчально-виховного процесу у відповідність із сучасними вимогами; - підвищення якості надання освітніх послуг здібним та обдарованим учням; - підвищення соціального статусу педагогічних працівників, які мають високі досягнення у роботі з учнівською молоддю; - збільшення охоплення дітей об’єднаної громади позашкільною освітою. </w:t>
      </w: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Охорона здоров’я</w:t>
      </w:r>
    </w:p>
    <w:p w:rsidR="00DF16AE"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 xml:space="preserve">Пріоритетами розвитку галузі будуть забезпечення рівного і справедливого доступу населення до медичних послуг належної якості, запобігання та зниження рівня захворюваності, а також створення сприятливих для здоров’я умов життєдіяльності людини. У 2020 та 2021 роках передбачається здійснити такі заходи: - поліпшення здоров’я населення, забезпечення рівного і справедливого доступу всіх членів громади до медичних послуг належної якості; - підвищення ефективності діяльності закладів охорони здоров’я, - посилення профілактичної роботи та запровадження її нових форм; - стимулювання медичних працівників за досягнення у проведеній лікувально-профілактичній роботі; - покращення матеріально-технічної бази закладів охорони здоров’я; - забезпечення закладів охорони здоров'я громади кваліфікованими працівниками, подальше впровадження системи заохочення медичних працівників до роботи в закладах охорони здоров'я на території громади. Основними результатами, яких планується досягти, є: - підвищення рівня медичного обслуговування населення, розширення можливості щодо його доступності та якості. </w:t>
      </w:r>
    </w:p>
    <w:p w:rsidR="00DF16AE" w:rsidRDefault="00DF16AE" w:rsidP="007759A2">
      <w:pPr>
        <w:spacing w:line="240" w:lineRule="auto"/>
        <w:jc w:val="both"/>
        <w:rPr>
          <w:rFonts w:ascii="Times New Roman" w:hAnsi="Times New Roman"/>
          <w:sz w:val="24"/>
          <w:szCs w:val="24"/>
        </w:rPr>
      </w:pPr>
    </w:p>
    <w:p w:rsidR="00DF16AE" w:rsidRDefault="00DF16AE" w:rsidP="007759A2">
      <w:pPr>
        <w:spacing w:line="240" w:lineRule="auto"/>
        <w:jc w:val="center"/>
        <w:rPr>
          <w:rFonts w:ascii="Times New Roman" w:hAnsi="Times New Roman"/>
          <w:sz w:val="24"/>
          <w:szCs w:val="24"/>
        </w:rPr>
      </w:pP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Соціальний захист та соціальне забезпечення</w:t>
      </w:r>
    </w:p>
    <w:p w:rsidR="00DF16AE" w:rsidRDefault="00DF16AE" w:rsidP="007759A2">
      <w:pPr>
        <w:spacing w:line="240" w:lineRule="auto"/>
        <w:jc w:val="both"/>
        <w:rPr>
          <w:rFonts w:ascii="Times New Roman" w:hAnsi="Times New Roman"/>
          <w:sz w:val="24"/>
          <w:szCs w:val="24"/>
        </w:rPr>
      </w:pPr>
      <w:r w:rsidRPr="00AB10C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AB10C3">
        <w:rPr>
          <w:rFonts w:ascii="Times New Roman" w:hAnsi="Times New Roman"/>
          <w:sz w:val="24"/>
          <w:szCs w:val="24"/>
        </w:rPr>
        <w:t>Пріоритетними напрямками у галузі є забезпечення адресного характеру надання соціальної підтримки, підвищення рівня охоплення соціальною підтримкою незаможних верств населення при раціональному використанні бюджетних коштів, подальше реформування сфери надання соціальних послуг та соціального захисту. У 2020-2021 роках передбачається здійснити такі заходи: - створення на території об’єднаної громади територіального центру обслуговування одиноких непрацездатних громадян; - підвищення рівня соціального захисту малозабезпечених верств населення; - забезпечення захищеності інвалідів, сімей з дітьми, інших незахищених верств населення; - підвищення ефективність соціальної роботи з сім’ями, молоддю; - забезпечення права дитини на сімейне виховання, розвиток сімейних форм виховання дітей-сиріт та дітей, позбавлених батьківського піклування. - надання матеріальної допомоги постраждалим та сім’ям загиблих (померлих) при виконанні службового обов’язку під час проведення антитерористичної операції, а також соціальної підтримки учасникам антитерористичної операції; Основними результатами, яких планується досягти, є: -</w:t>
      </w:r>
      <w:r>
        <w:rPr>
          <w:rFonts w:ascii="Times New Roman" w:hAnsi="Times New Roman"/>
          <w:sz w:val="24"/>
          <w:szCs w:val="24"/>
        </w:rPr>
        <w:t xml:space="preserve"> </w:t>
      </w:r>
      <w:r w:rsidRPr="00AB10C3">
        <w:rPr>
          <w:rFonts w:ascii="Times New Roman" w:hAnsi="Times New Roman"/>
          <w:sz w:val="24"/>
          <w:szCs w:val="24"/>
        </w:rPr>
        <w:t>підвищення якості послуг закладів, що надають соціальні послуги особам, що опинилися у складних життєвих обставинах; -</w:t>
      </w:r>
      <w:r>
        <w:rPr>
          <w:rFonts w:ascii="Times New Roman" w:hAnsi="Times New Roman"/>
          <w:sz w:val="24"/>
          <w:szCs w:val="24"/>
        </w:rPr>
        <w:t xml:space="preserve"> </w:t>
      </w:r>
      <w:r w:rsidRPr="00AB10C3">
        <w:rPr>
          <w:rFonts w:ascii="Times New Roman" w:hAnsi="Times New Roman"/>
          <w:sz w:val="24"/>
          <w:szCs w:val="24"/>
        </w:rPr>
        <w:t xml:space="preserve">поліпшення матеріального стану незахищених верств населення. </w:t>
      </w: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Культура та мистецтво</w:t>
      </w:r>
    </w:p>
    <w:p w:rsidR="00DF16AE"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Пріоритетом розвитку у цій сфері є забезпечення рівності прав та можливостей громадян у створенні, використанні, поширенні культурних цінностей; збереження, примноження культурних надбань; створення умов для творчого розвитку особистості та підвищення культурного рівня громадян. У 2020 та 2021 роках передбачається здійснити такі заходи: - забезпечення збереження мережі та покращення матеріально</w:t>
      </w:r>
      <w:r>
        <w:rPr>
          <w:rFonts w:ascii="Times New Roman" w:hAnsi="Times New Roman"/>
          <w:sz w:val="24"/>
          <w:szCs w:val="24"/>
        </w:rPr>
        <w:t>-</w:t>
      </w:r>
      <w:r w:rsidRPr="00AB10C3">
        <w:rPr>
          <w:rFonts w:ascii="Times New Roman" w:hAnsi="Times New Roman"/>
          <w:sz w:val="24"/>
          <w:szCs w:val="24"/>
        </w:rPr>
        <w:t>технічного стану закладів культури; - розвиток і збереження національних традицій та звичаїв, нематеріальної культурної спадщини; - проведення ремонтних робіт закладів культури; - забезпечення та збереження кадрового потенціалу закладів культури Основними результатами, яких планується досягти, є: - збільшення чисельності населення, охопленого культурно-дозвіллєвою діяльністю, бібліотечним обслуговуванням; - покращення матеріально-технічної бази закладів культури; - забезпечення високого рівня проведення фестивалів, ко</w:t>
      </w:r>
      <w:r>
        <w:rPr>
          <w:rFonts w:ascii="Times New Roman" w:hAnsi="Times New Roman"/>
          <w:sz w:val="24"/>
          <w:szCs w:val="24"/>
        </w:rPr>
        <w:t>нкурсів, свят.</w:t>
      </w:r>
      <w:r w:rsidRPr="00AB10C3">
        <w:rPr>
          <w:rFonts w:ascii="Times New Roman" w:hAnsi="Times New Roman"/>
          <w:sz w:val="24"/>
          <w:szCs w:val="24"/>
        </w:rPr>
        <w:t xml:space="preserve"> </w:t>
      </w: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Фізична культура і спорт</w:t>
      </w:r>
    </w:p>
    <w:p w:rsidR="00DF16AE" w:rsidRDefault="00DF16AE" w:rsidP="007759A2">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 xml:space="preserve">Пріоритетами розвитку у цій сфері є залучення широких верств населення до масового спорту, популяризація здорового способу життя. У 2020 та 2021 роках передбачається здійснити такі заходи: - підвищення рівня охоплення населення різних вікових і соціальних груп усіма видами фізкультурно-оздоровчої та спортивної діяльності; - збереження і розвиток мережі спортивних споруд, - удосконалення механізмів морального та матеріального заохочення високих спортивних результатів; - оновлення спортивної матеріально-технічної бази загальноосвітніх навчальних закладів. Основними результатами, яких планується досягти, є: - підвищення рівня залучення населення до занять фізичною культурою та масовим спортом, зміцнення здоров'я нації та попередження захворювань. </w:t>
      </w:r>
    </w:p>
    <w:p w:rsidR="00DF16AE" w:rsidRPr="00FC3111" w:rsidRDefault="00DF16AE" w:rsidP="007759A2">
      <w:pPr>
        <w:spacing w:line="240" w:lineRule="auto"/>
        <w:jc w:val="center"/>
        <w:rPr>
          <w:rFonts w:ascii="Times New Roman" w:hAnsi="Times New Roman"/>
          <w:b/>
          <w:sz w:val="24"/>
          <w:szCs w:val="24"/>
        </w:rPr>
      </w:pPr>
      <w:r w:rsidRPr="00FC3111">
        <w:rPr>
          <w:rFonts w:ascii="Times New Roman" w:hAnsi="Times New Roman"/>
          <w:b/>
          <w:sz w:val="24"/>
          <w:szCs w:val="24"/>
        </w:rPr>
        <w:t>Комунальне господарство та благоустрій</w:t>
      </w:r>
    </w:p>
    <w:p w:rsidR="00DF16AE" w:rsidRDefault="00DF16AE" w:rsidP="007759A2">
      <w:pPr>
        <w:spacing w:line="240" w:lineRule="auto"/>
        <w:jc w:val="both"/>
        <w:rPr>
          <w:rFonts w:ascii="Times New Roman" w:hAnsi="Times New Roman"/>
          <w:sz w:val="24"/>
          <w:szCs w:val="24"/>
        </w:rPr>
      </w:pPr>
      <w:r w:rsidRPr="00AB10C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10C3">
        <w:rPr>
          <w:rFonts w:ascii="Times New Roman" w:hAnsi="Times New Roman"/>
          <w:sz w:val="24"/>
          <w:szCs w:val="24"/>
        </w:rPr>
        <w:t xml:space="preserve">Пріоритетними завданнями житлово-комунального господарства є підвищення якості житлово-комунальних послуг для всіх верств населення, розвиток благоустрою в населених пунктах громади. У 2020‒2021 роках передбачається здійснити такі заходи: - підтримання в належному стані водогонів та водопроводів; - сприяння розвитку благоустрою: освітлення доріг, прибудинкових територій, скверів та інших місць з використанням </w:t>
      </w:r>
      <w:r>
        <w:rPr>
          <w:rFonts w:ascii="Times New Roman" w:hAnsi="Times New Roman"/>
          <w:sz w:val="24"/>
          <w:szCs w:val="24"/>
        </w:rPr>
        <w:t xml:space="preserve"> </w:t>
      </w:r>
      <w:r w:rsidRPr="00AB10C3">
        <w:rPr>
          <w:rFonts w:ascii="Times New Roman" w:hAnsi="Times New Roman"/>
          <w:sz w:val="24"/>
          <w:szCs w:val="24"/>
        </w:rPr>
        <w:t xml:space="preserve">енергозберігаючих </w:t>
      </w:r>
      <w:r>
        <w:rPr>
          <w:rFonts w:ascii="Times New Roman" w:hAnsi="Times New Roman"/>
          <w:sz w:val="24"/>
          <w:szCs w:val="24"/>
        </w:rPr>
        <w:t xml:space="preserve"> </w:t>
      </w:r>
      <w:r w:rsidRPr="00AB10C3">
        <w:rPr>
          <w:rFonts w:ascii="Times New Roman" w:hAnsi="Times New Roman"/>
          <w:sz w:val="24"/>
          <w:szCs w:val="24"/>
        </w:rPr>
        <w:t xml:space="preserve">світильників; </w:t>
      </w:r>
      <w:r>
        <w:rPr>
          <w:rFonts w:ascii="Times New Roman" w:hAnsi="Times New Roman"/>
          <w:sz w:val="24"/>
          <w:szCs w:val="24"/>
        </w:rPr>
        <w:t xml:space="preserve"> </w:t>
      </w:r>
      <w:r w:rsidRPr="00AB10C3">
        <w:rPr>
          <w:rFonts w:ascii="Times New Roman" w:hAnsi="Times New Roman"/>
          <w:sz w:val="24"/>
          <w:szCs w:val="24"/>
        </w:rPr>
        <w:t xml:space="preserve">збереження </w:t>
      </w:r>
      <w:r>
        <w:rPr>
          <w:rFonts w:ascii="Times New Roman" w:hAnsi="Times New Roman"/>
          <w:sz w:val="24"/>
          <w:szCs w:val="24"/>
        </w:rPr>
        <w:t xml:space="preserve"> </w:t>
      </w:r>
      <w:r w:rsidRPr="00AB10C3">
        <w:rPr>
          <w:rFonts w:ascii="Times New Roman" w:hAnsi="Times New Roman"/>
          <w:sz w:val="24"/>
          <w:szCs w:val="24"/>
        </w:rPr>
        <w:t xml:space="preserve">зелених </w:t>
      </w:r>
      <w:r>
        <w:rPr>
          <w:rFonts w:ascii="Times New Roman" w:hAnsi="Times New Roman"/>
          <w:sz w:val="24"/>
          <w:szCs w:val="24"/>
        </w:rPr>
        <w:t xml:space="preserve"> </w:t>
      </w:r>
      <w:r w:rsidRPr="00AB10C3">
        <w:rPr>
          <w:rFonts w:ascii="Times New Roman" w:hAnsi="Times New Roman"/>
          <w:sz w:val="24"/>
          <w:szCs w:val="24"/>
        </w:rPr>
        <w:t xml:space="preserve">насаджень, </w:t>
      </w:r>
      <w:r>
        <w:rPr>
          <w:rFonts w:ascii="Times New Roman" w:hAnsi="Times New Roman"/>
          <w:sz w:val="24"/>
          <w:szCs w:val="24"/>
        </w:rPr>
        <w:t xml:space="preserve"> </w:t>
      </w:r>
      <w:r w:rsidRPr="00AB10C3">
        <w:rPr>
          <w:rFonts w:ascii="Times New Roman" w:hAnsi="Times New Roman"/>
          <w:sz w:val="24"/>
          <w:szCs w:val="24"/>
        </w:rPr>
        <w:t xml:space="preserve">їх </w:t>
      </w:r>
    </w:p>
    <w:p w:rsidR="00DF16AE" w:rsidRDefault="00DF16AE" w:rsidP="007759A2">
      <w:pPr>
        <w:spacing w:line="240" w:lineRule="auto"/>
        <w:jc w:val="both"/>
        <w:rPr>
          <w:rFonts w:ascii="Times New Roman" w:hAnsi="Times New Roman"/>
          <w:sz w:val="24"/>
          <w:szCs w:val="24"/>
        </w:rPr>
      </w:pPr>
    </w:p>
    <w:p w:rsidR="00DF16AE" w:rsidRDefault="00DF16AE" w:rsidP="007759A2">
      <w:pPr>
        <w:spacing w:line="240" w:lineRule="auto"/>
        <w:jc w:val="both"/>
        <w:rPr>
          <w:rFonts w:ascii="Times New Roman" w:hAnsi="Times New Roman"/>
          <w:sz w:val="24"/>
          <w:szCs w:val="24"/>
        </w:rPr>
      </w:pPr>
      <w:r w:rsidRPr="00AB10C3">
        <w:rPr>
          <w:rFonts w:ascii="Times New Roman" w:hAnsi="Times New Roman"/>
          <w:sz w:val="24"/>
          <w:szCs w:val="24"/>
        </w:rPr>
        <w:t xml:space="preserve">утримання в задовільному та упорядкованому стані, створення та формування високо декоративних і ефективних в екологічному відношенні насаджень; охорона та благоустрій парків, річок і озер; обслуговування пам’ятних знаків та дощок, благоустрій кладовищ. - вирішення питання щодо збору та вивезення твердих побутових відходів. Основними результатами, яких планується досягти, є: - підвищити рівень забезпеченості населення комунальними послугами в необхідних обсягах, високої якості та за доступними цінами; - покращити рівень благоустрою населених пунктів. </w:t>
      </w:r>
    </w:p>
    <w:p w:rsidR="00DF16AE" w:rsidRDefault="00DF16AE" w:rsidP="00854EF9">
      <w:pPr>
        <w:spacing w:line="240" w:lineRule="auto"/>
        <w:jc w:val="center"/>
        <w:rPr>
          <w:rFonts w:ascii="Times New Roman" w:hAnsi="Times New Roman"/>
          <w:sz w:val="24"/>
          <w:szCs w:val="24"/>
        </w:rPr>
      </w:pPr>
      <w:r>
        <w:rPr>
          <w:rFonts w:ascii="Times New Roman" w:hAnsi="Times New Roman"/>
          <w:sz w:val="24"/>
          <w:szCs w:val="24"/>
        </w:rPr>
        <w:t>________________________________</w:t>
      </w:r>
    </w:p>
    <w:sectPr w:rsidR="00DF16AE" w:rsidSect="007759A2">
      <w:pgSz w:w="11906" w:h="16838"/>
      <w:pgMar w:top="850" w:right="746" w:bottom="85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3FEA"/>
    <w:multiLevelType w:val="hybridMultilevel"/>
    <w:tmpl w:val="B17EA6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2D1"/>
    <w:rsid w:val="00056A73"/>
    <w:rsid w:val="00150F56"/>
    <w:rsid w:val="00290496"/>
    <w:rsid w:val="002D32D1"/>
    <w:rsid w:val="003E1491"/>
    <w:rsid w:val="0056006E"/>
    <w:rsid w:val="005D308B"/>
    <w:rsid w:val="0060042B"/>
    <w:rsid w:val="007759A2"/>
    <w:rsid w:val="00775FF4"/>
    <w:rsid w:val="00800027"/>
    <w:rsid w:val="00854EF9"/>
    <w:rsid w:val="00A801A0"/>
    <w:rsid w:val="00AB10C3"/>
    <w:rsid w:val="00AD1435"/>
    <w:rsid w:val="00DF16AE"/>
    <w:rsid w:val="00F57A97"/>
    <w:rsid w:val="00FC3111"/>
    <w:rsid w:val="00FE45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30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31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7</Pages>
  <Words>11077</Words>
  <Characters>6315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vita</cp:lastModifiedBy>
  <cp:revision>6</cp:revision>
  <cp:lastPrinted>2019-02-18T08:38:00Z</cp:lastPrinted>
  <dcterms:created xsi:type="dcterms:W3CDTF">2019-02-13T13:59:00Z</dcterms:created>
  <dcterms:modified xsi:type="dcterms:W3CDTF">2019-02-18T08:39:00Z</dcterms:modified>
</cp:coreProperties>
</file>